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BBD60" w14:textId="4BA1A423" w:rsidR="00060C27" w:rsidRDefault="00F70D46" w:rsidP="00510B86">
      <w:pPr>
        <w:pStyle w:val="FirstParagraph"/>
        <w:spacing w:line="480" w:lineRule="auto"/>
      </w:pPr>
      <w:r>
        <w:rPr>
          <w:b/>
        </w:rPr>
        <w:t>Figure 2-1</w:t>
      </w:r>
      <w:r w:rsidR="00E54A2F">
        <w:rPr>
          <w:b/>
        </w:rPr>
        <w:t>. Groucho ChIP-seq experiments show high reproducibility in read mapping and peak calling</w:t>
      </w:r>
      <w:r w:rsidR="00E54A2F">
        <w:t xml:space="preserve"> </w:t>
      </w:r>
      <w:r w:rsidR="00E54A2F">
        <w:rPr>
          <w:b/>
        </w:rPr>
        <w:t>(A)</w:t>
      </w:r>
      <w:r w:rsidR="00E54A2F">
        <w:t xml:space="preserve"> ChIP-seq libraries were sequenced to a depth of ~20M reads, twice the recommended library sizes for ChIP-seq experiments proposed by the modENCODE consortium {Landt, 2012 #308}. </w:t>
      </w:r>
      <w:r w:rsidR="00E54A2F">
        <w:rPr>
          <w:b/>
        </w:rPr>
        <w:t>(B)</w:t>
      </w:r>
      <w:r w:rsidR="00E54A2F">
        <w:t xml:space="preserve"> </w:t>
      </w:r>
      <w:r w:rsidR="00E54A2F">
        <w:rPr>
          <w:i/>
        </w:rPr>
        <w:t>(left)</w:t>
      </w:r>
      <w:r w:rsidR="00E54A2F">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sidR="00E54A2F">
        <w:rPr>
          <w:i/>
        </w:rPr>
        <w:t>(right)</w:t>
      </w:r>
      <w:r w:rsidR="00E54A2F">
        <w:t xml:space="preserve"> Peak calling was performed with MACS2 and called peaks were clustered by similarity. </w:t>
      </w:r>
      <w:r w:rsidR="00E54A2F">
        <w:rPr>
          <w:b/>
        </w:rPr>
        <w:t>(C)</w:t>
      </w:r>
      <w:r w:rsidR="00E54A2F">
        <w:t xml:space="preserve"> Replicate similarity was confirmed using principal component analysis</w:t>
      </w:r>
    </w:p>
    <w:p w14:paraId="12ACEF28" w14:textId="3F5E0DA1" w:rsidR="00060C27" w:rsidRDefault="00DE3BBE" w:rsidP="00B90E9D">
      <w:pPr>
        <w:pStyle w:val="Bibliography"/>
      </w:pPr>
      <w:r>
        <w:br w:type="page"/>
      </w:r>
      <w:r w:rsidR="00B90E9D">
        <w:lastRenderedPageBreak/>
        <w:t>Fig 2-1</w:t>
      </w:r>
      <w:r w:rsidR="00B90E9D">
        <w:rPr>
          <w:noProof/>
        </w:rPr>
        <w:drawing>
          <wp:inline distT="0" distB="0" distL="0" distR="0" wp14:anchorId="544F5C33" wp14:editId="35AC5E54">
            <wp:extent cx="5935345" cy="7680960"/>
            <wp:effectExtent l="0" t="0" r="0" b="0"/>
            <wp:docPr id="2" name="Picture 2"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6BF5D56" w14:textId="7E8D20C9" w:rsidR="00F70D46" w:rsidRDefault="00F70D46" w:rsidP="00F70D46">
      <w:pPr>
        <w:pStyle w:val="BodyText"/>
        <w:spacing w:line="480" w:lineRule="auto"/>
      </w:pPr>
      <w:r>
        <w:rPr>
          <w:b/>
        </w:rPr>
        <w:lastRenderedPageBreak/>
        <w:t>Figure 2-2. The Groucho binding pattern exhibits significant overlap with Groucho ChIP-chip determined peaks utilizing an independently-derived antibody.</w:t>
      </w:r>
      <w:r>
        <w:t xml:space="preserve"> Significant Groucho peaks were compared to two sets of publicly-available Groucho ChIP-chip data performed on 0 - 12 hour embryos generated using a polyclonal antibody raised against a portion of the Groucho Q domain. The modENCODE data encompasses a timespan beginning 1.5 hours prior to our timepoints, and ending 3 hours afterwards. The degree of overlap is strongest at later timepoints, with the 6.5 - 9 hour data overlapping 68% of all modENCODE binding regions.</w:t>
      </w:r>
      <w:r w:rsidR="00CF32D0">
        <w:t xml:space="preserve"> Comparison of embryonic Groucho binding with modENCODE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pupal stages, especially in tissue differentiation originating from imaginal discs is well documented, specifically the intepretation of a Brinker gradient arising across the anterior-posterior axis of the wing disc {Hasson, 2001 #3033}.</w:t>
      </w:r>
    </w:p>
    <w:p w14:paraId="625E22C7" w14:textId="644A8D82" w:rsidR="00060C27" w:rsidRDefault="00DE3BBE" w:rsidP="00DE3BBE">
      <w:pPr>
        <w:pStyle w:val="BodyText"/>
        <w:spacing w:line="480" w:lineRule="auto"/>
        <w:outlineLvl w:val="0"/>
      </w:pPr>
      <w:r>
        <w:br w:type="page"/>
      </w:r>
      <w:r w:rsidR="00B90E9D">
        <w:lastRenderedPageBreak/>
        <w:t>Fig. 2-2</w:t>
      </w:r>
      <w:r w:rsidR="00B90E9D">
        <w:rPr>
          <w:noProof/>
        </w:rPr>
        <w:drawing>
          <wp:inline distT="0" distB="0" distL="0" distR="0" wp14:anchorId="59FE1933" wp14:editId="2DBFA43A">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06929B9" w14:textId="27B45D61" w:rsidR="00060C27" w:rsidRDefault="00B90E9D" w:rsidP="004A3B77">
      <w:pPr>
        <w:pStyle w:val="BodyText"/>
        <w:spacing w:line="480" w:lineRule="auto"/>
        <w:ind w:left="720" w:hanging="720"/>
      </w:pPr>
      <w:r>
        <w:rPr>
          <w:b/>
        </w:rPr>
        <w:lastRenderedPageBreak/>
        <w:t>Figure 2-3</w:t>
      </w:r>
      <w:r w:rsidR="00E54A2F">
        <w:rPr>
          <w:b/>
        </w:rPr>
        <w:t>. A large number of Groucho binding regions are preserved throughout all stages analyzed.</w:t>
      </w:r>
      <w:r w:rsidR="00E54A2F">
        <w:t xml:space="preserve"> </w:t>
      </w:r>
      <w:r w:rsidR="00E54A2F">
        <w:rPr>
          <w:b/>
        </w:rPr>
        <w:t>(A)</w:t>
      </w:r>
      <w:r w:rsidR="00E54A2F">
        <w:t xml:space="preserve"> </w:t>
      </w:r>
      <w:r w:rsidR="00285A9D">
        <w:t>Peaks present in both replicates were obtained from each timepoint and used for further analysis. Overlapping peaks were identified as those having at least 1 basepair ov</w:t>
      </w:r>
      <w:r w:rsidR="005D5121">
        <w:t xml:space="preserve">erlap with a peak </w:t>
      </w:r>
      <w:r w:rsidR="00CC3264">
        <w:t>between replicates</w:t>
      </w:r>
      <w:r w:rsidR="00285A9D">
        <w:t xml:space="preserve">. Samples exhibited a replicate overlap rate of approximately 35% of all peaks, for the first and third timepoint, and 61% for the middle timepoint. </w:t>
      </w:r>
      <w:r w:rsidR="00285A9D" w:rsidRPr="00285A9D">
        <w:rPr>
          <w:b/>
        </w:rPr>
        <w:t>(B)</w:t>
      </w:r>
      <w:r w:rsidR="00285A9D">
        <w:t xml:space="preserve"> </w:t>
      </w:r>
      <w:r w:rsidR="00E54A2F">
        <w:t xml:space="preserve">While a </w:t>
      </w:r>
      <w:r w:rsidR="00CC3264">
        <w:t>large</w:t>
      </w:r>
      <w:r w:rsidR="00E54A2F">
        <w:t xml:space="preserve"> fraction of Groucho binding sites </w:t>
      </w:r>
      <w:r w:rsidR="00CC3264">
        <w:t>is</w:t>
      </w:r>
      <w:r w:rsidR="00E54A2F">
        <w:t xml:space="preserve"> unique to each of the three timepoints analyzed, are preserved across two or more timepoints. No detected Groucho peak was present in only early and late timepoints, indicated that during the timepoints analyzed removeal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r w:rsidR="00285A9D">
        <w:t>.</w:t>
      </w:r>
    </w:p>
    <w:p w14:paraId="5BD5F1A2" w14:textId="4E07947D" w:rsidR="00060C27" w:rsidRDefault="00DE3BBE" w:rsidP="00DE3BBE">
      <w:pPr>
        <w:pStyle w:val="BodyText"/>
        <w:spacing w:line="480" w:lineRule="auto"/>
        <w:outlineLvl w:val="0"/>
      </w:pPr>
      <w:r>
        <w:br w:type="page"/>
      </w:r>
      <w:r w:rsidR="00B90E9D">
        <w:lastRenderedPageBreak/>
        <w:t>Fig. 2-3</w:t>
      </w:r>
      <w:r w:rsidR="00B90E9D">
        <w:rPr>
          <w:noProof/>
        </w:rPr>
        <w:drawing>
          <wp:inline distT="0" distB="0" distL="0" distR="0" wp14:anchorId="430A3A6D" wp14:editId="7D67BD65">
            <wp:extent cx="5935345" cy="7680960"/>
            <wp:effectExtent l="0" t="0" r="0" b="0"/>
            <wp:docPr id="5" name="Picture 5"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3.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E66AB39" w14:textId="634AE878" w:rsidR="00963DBA" w:rsidRDefault="00963DBA" w:rsidP="00963DBA">
      <w:pPr>
        <w:spacing w:line="480" w:lineRule="auto"/>
        <w:rPr>
          <w:b/>
        </w:rPr>
      </w:pPr>
      <w:r>
        <w:rPr>
          <w:b/>
        </w:rPr>
        <w:lastRenderedPageBreak/>
        <w:t>Figure 2-4</w:t>
      </w:r>
      <w:r>
        <w:rPr>
          <w:b/>
        </w:rPr>
        <w:t xml:space="preserve">. Over half of Groucho localizes to highly-occupied target (HOT) regions at all time windows assayed. </w:t>
      </w:r>
      <w:r>
        <w:t>At earlier timepoints, Groucho peaks prefer to localize to HOT regions with higher average scores, indicative of more colocalizing transcription factors. As development proceeds, Groucho becomes increasingly associated with less-occupied HOT regions. This could represent an expansion of the regulatory program of Groucho as the proliferation of cell and tissue types brings Groucho to more specialized regulatory targets.</w:t>
      </w:r>
      <w:r>
        <w:rPr>
          <w:b/>
        </w:rPr>
        <w:br w:type="page"/>
      </w:r>
    </w:p>
    <w:p w14:paraId="03C37F5B" w14:textId="4133CB34" w:rsidR="00963DBA" w:rsidRDefault="00963DBA" w:rsidP="00963DBA">
      <w:pPr>
        <w:rPr>
          <w:b/>
        </w:rPr>
      </w:pPr>
      <w:r>
        <w:lastRenderedPageBreak/>
        <w:t>Fig. 2-4</w:t>
      </w:r>
      <w:r>
        <w:rPr>
          <w:noProof/>
        </w:rPr>
        <w:drawing>
          <wp:inline distT="0" distB="0" distL="0" distR="0" wp14:anchorId="7DF96AC5" wp14:editId="648207EB">
            <wp:extent cx="5932170" cy="7694295"/>
            <wp:effectExtent l="0" t="0" r="0" b="0"/>
            <wp:docPr id="13" name="Picture 13" descr="ch2_groucho.figures.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12.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170" cy="7694295"/>
                    </a:xfrm>
                    <a:prstGeom prst="rect">
                      <a:avLst/>
                    </a:prstGeom>
                    <a:noFill/>
                    <a:ln>
                      <a:noFill/>
                    </a:ln>
                  </pic:spPr>
                </pic:pic>
              </a:graphicData>
            </a:graphic>
          </wp:inline>
        </w:drawing>
      </w:r>
      <w:r>
        <w:rPr>
          <w:b/>
        </w:rPr>
        <w:br w:type="page"/>
      </w:r>
    </w:p>
    <w:p w14:paraId="66C45D70" w14:textId="59B8DBFF" w:rsidR="00963DBA" w:rsidRDefault="00963DBA" w:rsidP="00C233C8">
      <w:pPr>
        <w:spacing w:line="480" w:lineRule="auto"/>
        <w:rPr>
          <w:b/>
        </w:rPr>
      </w:pPr>
      <w:r>
        <w:rPr>
          <w:b/>
        </w:rPr>
        <w:lastRenderedPageBreak/>
        <w:t>Figure 2-5. Groucho f</w:t>
      </w:r>
      <w:r w:rsidR="00C233C8">
        <w:rPr>
          <w:b/>
        </w:rPr>
        <w:t>requently loc</w:t>
      </w:r>
      <w:r>
        <w:rPr>
          <w:b/>
        </w:rPr>
        <w:t>alizes to regions of high chromatin accessibility.</w:t>
      </w:r>
      <w:r w:rsidR="00C233C8">
        <w:rPr>
          <w:b/>
        </w:rPr>
        <w:t xml:space="preserve"> </w:t>
      </w:r>
      <w:r w:rsidR="00C233C8">
        <w:t xml:space="preserve">Previously published developmental stage-specific chromatin accessibility data (from Li. et al., 2011) was intersected with Groucho ChIP-seq data across all timepoints. </w:t>
      </w:r>
      <w:r w:rsidR="00DF18D9">
        <w:t>The percentage of Groucho binding sites that are found within high-accessibility regions was calculated for each pair of data sets (white: low % overlap, purple: high % overlap). The correspondence between Groucho ChIP-seq samples and stages of development is represented by grey boxes (bottom). A pattern of strong enrichment of Groucho binding within these regions is observed in all three assayed developmental stage</w:t>
      </w:r>
      <w:r w:rsidR="00C560A8">
        <w:t>s</w:t>
      </w:r>
      <w:r w:rsidR="00DF18D9">
        <w:t>.</w:t>
      </w:r>
      <w:r>
        <w:rPr>
          <w:b/>
        </w:rPr>
        <w:br w:type="page"/>
      </w:r>
    </w:p>
    <w:p w14:paraId="4A9FDB97" w14:textId="143A9984" w:rsidR="0089424C" w:rsidRDefault="0089424C">
      <w:pPr>
        <w:rPr>
          <w:b/>
        </w:rPr>
      </w:pPr>
      <w:r>
        <w:lastRenderedPageBreak/>
        <w:t>Fig. 2-5</w:t>
      </w:r>
      <w:r w:rsidR="00DF18D9">
        <w:rPr>
          <w:noProof/>
        </w:rPr>
        <w:drawing>
          <wp:inline distT="0" distB="0" distL="0" distR="0" wp14:anchorId="1326E8C0" wp14:editId="60E03413">
            <wp:extent cx="5936615" cy="7677785"/>
            <wp:effectExtent l="0" t="0" r="0" b="0"/>
            <wp:docPr id="17" name="Picture 17"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13.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7677785"/>
                    </a:xfrm>
                    <a:prstGeom prst="rect">
                      <a:avLst/>
                    </a:prstGeom>
                    <a:noFill/>
                    <a:ln>
                      <a:noFill/>
                    </a:ln>
                  </pic:spPr>
                </pic:pic>
              </a:graphicData>
            </a:graphic>
          </wp:inline>
        </w:drawing>
      </w:r>
      <w:r>
        <w:rPr>
          <w:b/>
        </w:rPr>
        <w:br w:type="page"/>
      </w:r>
    </w:p>
    <w:p w14:paraId="7569F06A" w14:textId="15923A37" w:rsidR="00C560A8" w:rsidRPr="005349C8" w:rsidRDefault="00C560A8" w:rsidP="00C560A8">
      <w:pPr>
        <w:pStyle w:val="BodyText"/>
        <w:spacing w:line="480" w:lineRule="auto"/>
      </w:pPr>
      <w:r>
        <w:rPr>
          <w:b/>
        </w:rPr>
        <w:lastRenderedPageBreak/>
        <w:t xml:space="preserve">Figure </w:t>
      </w:r>
      <w:r>
        <w:rPr>
          <w:b/>
        </w:rPr>
        <w:t>2-6</w:t>
      </w:r>
      <w:r>
        <w:rPr>
          <w:b/>
        </w:rPr>
        <w:t>. Most Groucho bound genes are associated with two or more distinct Gro peaks.</w:t>
      </w:r>
      <w:r>
        <w:t xml:space="preserve"> </w:t>
      </w:r>
      <w:r>
        <w:rPr>
          <w:b/>
        </w:rPr>
        <w:t xml:space="preserve">(A) </w:t>
      </w:r>
      <w:r>
        <w:t xml:space="preserve">Overlap of Groucho-associated genes reveals Groucho binds adjacent to or overlapping hundreds of genes at each timepoint, with a significant number (457) being bound throughout the developmental stages assayed. </w:t>
      </w:r>
      <w:r>
        <w:rPr>
          <w:b/>
        </w:rPr>
        <w:t xml:space="preserve">(B) </w:t>
      </w:r>
      <w:r>
        <w:t>Over half of all Groucho bound genes exhibit two or more distinct Groucho peaks. These situations represent Groucho being recruited to multiple sequence-specific transcription factors or topological rearrangements which bring Gro in contact with multiple genomic loci.</w:t>
      </w:r>
    </w:p>
    <w:p w14:paraId="7C39067E" w14:textId="79111806" w:rsidR="00C560A8" w:rsidRDefault="00C560A8" w:rsidP="00C560A8">
      <w:pPr>
        <w:pStyle w:val="BodyText"/>
        <w:spacing w:line="480" w:lineRule="auto"/>
        <w:outlineLvl w:val="0"/>
      </w:pPr>
      <w:r>
        <w:br w:type="page"/>
      </w:r>
      <w:r>
        <w:lastRenderedPageBreak/>
        <w:t>Fig. 2-6</w:t>
      </w:r>
      <w:r>
        <w:rPr>
          <w:noProof/>
        </w:rPr>
        <w:drawing>
          <wp:inline distT="0" distB="0" distL="0" distR="0" wp14:anchorId="32BB16DF" wp14:editId="4E692FAB">
            <wp:extent cx="5937250" cy="7687310"/>
            <wp:effectExtent l="0" t="0" r="0" b="0"/>
            <wp:docPr id="8" name="Picture 8" descr="ch2_groucho.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7.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r>
        <w:br w:type="page"/>
      </w:r>
    </w:p>
    <w:p w14:paraId="593864A7" w14:textId="646549F9" w:rsidR="00C560A8" w:rsidRDefault="00C560A8" w:rsidP="00C560A8">
      <w:pPr>
        <w:pStyle w:val="BodyText"/>
        <w:spacing w:line="480" w:lineRule="auto"/>
      </w:pPr>
      <w:r>
        <w:rPr>
          <w:b/>
        </w:rPr>
        <w:lastRenderedPageBreak/>
        <w:t>Figure 2-7</w:t>
      </w:r>
      <w:r>
        <w:rPr>
          <w:b/>
        </w:rPr>
        <w:t>. Average Groucho peak widths suggest spreading is a limited phenomenon.</w:t>
      </w:r>
      <w:r>
        <w:t xml:space="preserve"> Groucho binding regions have a median width of between 500 and 700 bp.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637A32B5" w14:textId="0303C53D" w:rsidR="00C560A8" w:rsidRDefault="00C560A8" w:rsidP="00C560A8">
      <w:pPr>
        <w:pStyle w:val="BodyText"/>
        <w:spacing w:line="480" w:lineRule="auto"/>
      </w:pPr>
      <w:r>
        <w:br w:type="page"/>
      </w:r>
      <w:r>
        <w:lastRenderedPageBreak/>
        <w:t>Fig. 2-7</w:t>
      </w:r>
      <w:r>
        <w:rPr>
          <w:noProof/>
        </w:rPr>
        <w:drawing>
          <wp:inline distT="0" distB="0" distL="0" distR="0" wp14:anchorId="61F83400" wp14:editId="09EFD392">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138FD18" w14:textId="16963400" w:rsidR="00C560A8" w:rsidRDefault="00C560A8" w:rsidP="00C560A8">
      <w:pPr>
        <w:pStyle w:val="BodyText"/>
        <w:spacing w:line="480" w:lineRule="auto"/>
      </w:pPr>
      <w:r>
        <w:rPr>
          <w:b/>
        </w:rPr>
        <w:lastRenderedPageBreak/>
        <w:t>Figure 2-8</w:t>
      </w:r>
      <w:r>
        <w:rPr>
          <w:b/>
        </w:rPr>
        <w:t>. Groucho is preferentially recruited to gene bodies at all timepoints.</w:t>
      </w:r>
      <w:r>
        <w:t xml:space="preserve"> </w:t>
      </w:r>
      <w:r w:rsidRPr="00DB1950">
        <w:rPr>
          <w:b/>
        </w:rPr>
        <w:t>(A)</w:t>
      </w:r>
      <w:r>
        <w:t xml:space="preserve"> Groucho peaks are enriched for 5’ UTRs, Introns, and promoter regions ( 0 – 500 bp upstream), and are depleted in </w:t>
      </w:r>
      <w:r w:rsidRPr="0048501F">
        <w:rPr>
          <w:b/>
        </w:rPr>
        <w:t>(B)</w:t>
      </w:r>
      <w:r>
        <w:t xml:space="preserve"> 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225241B6" w14:textId="7B055923" w:rsidR="00C560A8" w:rsidRDefault="00C560A8" w:rsidP="00C560A8">
      <w:pPr>
        <w:pStyle w:val="BodyText"/>
        <w:spacing w:line="480" w:lineRule="auto"/>
        <w:outlineLvl w:val="0"/>
      </w:pPr>
      <w:r>
        <w:br w:type="page"/>
      </w:r>
      <w:r>
        <w:lastRenderedPageBreak/>
        <w:t>Fig. 2</w:t>
      </w:r>
      <w:r>
        <w:t>-8</w:t>
      </w:r>
      <w:r>
        <w:rPr>
          <w:noProof/>
        </w:rPr>
        <w:drawing>
          <wp:inline distT="0" distB="0" distL="0" distR="0" wp14:anchorId="48AF9B3D" wp14:editId="13E34EE0">
            <wp:extent cx="5937250" cy="7687310"/>
            <wp:effectExtent l="0" t="0" r="0" b="0"/>
            <wp:docPr id="9" name="Picture 9"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9.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r>
        <w:t xml:space="preserve"> </w:t>
      </w:r>
      <w:r>
        <w:br w:type="page"/>
      </w:r>
    </w:p>
    <w:p w14:paraId="700DA3D5" w14:textId="218617BD" w:rsidR="00C560A8" w:rsidRDefault="00C560A8" w:rsidP="00C560A8">
      <w:pPr>
        <w:pStyle w:val="BodyText"/>
        <w:spacing w:line="480" w:lineRule="auto"/>
      </w:pPr>
      <w:r>
        <w:rPr>
          <w:b/>
        </w:rPr>
        <w:lastRenderedPageBreak/>
        <w:t xml:space="preserve">Figure </w:t>
      </w:r>
      <w:r w:rsidR="009C709A">
        <w:rPr>
          <w:b/>
        </w:rPr>
        <w:t>2-9</w:t>
      </w:r>
      <w:r>
        <w:rPr>
          <w:b/>
        </w:rPr>
        <w:t>.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56531ED5" w14:textId="09EF6F97" w:rsidR="00C560A8" w:rsidRDefault="00C560A8" w:rsidP="00C560A8">
      <w:pPr>
        <w:pStyle w:val="BodyText"/>
        <w:spacing w:line="480" w:lineRule="auto"/>
        <w:outlineLvl w:val="0"/>
      </w:pPr>
      <w:r>
        <w:br w:type="page"/>
      </w:r>
      <w:r w:rsidR="009C709A">
        <w:lastRenderedPageBreak/>
        <w:t>Fig. 2-9</w:t>
      </w:r>
      <w:r>
        <w:rPr>
          <w:noProof/>
        </w:rPr>
        <w:drawing>
          <wp:inline distT="0" distB="0" distL="0" distR="0" wp14:anchorId="4DD2C657" wp14:editId="2A0FE634">
            <wp:extent cx="5935345" cy="7680960"/>
            <wp:effectExtent l="0" t="0" r="0" b="0"/>
            <wp:docPr id="31" name="Picture 31"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10.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A2620E0" w14:textId="05621480" w:rsidR="009C709A" w:rsidRPr="006B77BB" w:rsidRDefault="009C709A" w:rsidP="009C709A">
      <w:pPr>
        <w:pStyle w:val="BodyText"/>
        <w:spacing w:line="480" w:lineRule="auto"/>
      </w:pPr>
      <w:r>
        <w:rPr>
          <w:b/>
        </w:rPr>
        <w:lastRenderedPageBreak/>
        <w:t>Figure 2-10</w:t>
      </w:r>
      <w:r>
        <w:rPr>
          <w:b/>
        </w:rPr>
        <w:t xml:space="preserve">. Motif analysis of Groucho peaks in intergenic and genic regions reveals differential enrichment of coregulators by developmental stage. </w:t>
      </w:r>
      <w:r>
        <w:t>Binding motis for several known Groucho-interacting proteins are represented, including hairy (h), huckebein (hkb), sloppy-paired 1 (slp1), brinker (brk), and ventral nervous system defective (vnd). Two factors, serpent (srp) and ultraspiracle (usp), are only enriched in Groucho binding regions arising inside genes.</w:t>
      </w:r>
    </w:p>
    <w:p w14:paraId="43C7F6AF" w14:textId="3ED6264C" w:rsidR="009C709A" w:rsidRDefault="009C709A" w:rsidP="009C709A">
      <w:pPr>
        <w:pStyle w:val="BodyText"/>
        <w:spacing w:line="480" w:lineRule="auto"/>
        <w:outlineLvl w:val="0"/>
      </w:pPr>
      <w:r>
        <w:br w:type="page"/>
      </w:r>
      <w:r>
        <w:lastRenderedPageBreak/>
        <w:t>Fig. 2-10</w:t>
      </w:r>
      <w:r>
        <w:rPr>
          <w:noProof/>
        </w:rPr>
        <w:drawing>
          <wp:inline distT="0" distB="0" distL="0" distR="0" wp14:anchorId="694F7216" wp14:editId="27D8A004">
            <wp:extent cx="5937250" cy="7687310"/>
            <wp:effectExtent l="0" t="0" r="0" b="0"/>
            <wp:docPr id="10" name="Picture 10" descr="ch2_groucho.figure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11.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r>
        <w:br w:type="page"/>
      </w:r>
    </w:p>
    <w:p w14:paraId="110E4282" w14:textId="16998DE3" w:rsidR="00BA3CC7" w:rsidRDefault="00797813" w:rsidP="00BA3CC7">
      <w:pPr>
        <w:pStyle w:val="BodyText"/>
        <w:spacing w:line="480" w:lineRule="auto"/>
      </w:pPr>
      <w:r>
        <w:rPr>
          <w:b/>
        </w:rPr>
        <w:lastRenderedPageBreak/>
        <w:t>Figure 2-11</w:t>
      </w:r>
      <w:r w:rsidR="00A16899">
        <w:rPr>
          <w:b/>
        </w:rPr>
        <w:t>. Groucho binds to</w:t>
      </w:r>
      <w:r w:rsidR="00BA3CC7">
        <w:rPr>
          <w:b/>
        </w:rPr>
        <w:t xml:space="preserve"> early dorsoventral patterning genes with distinct patterns.</w:t>
      </w:r>
      <w:r w:rsidR="00BA3CC7">
        <w:t xml:space="preserve"> </w:t>
      </w:r>
      <w:r w:rsidR="00BA3CC7">
        <w:rPr>
          <w:b/>
        </w:rPr>
        <w:t>(A)</w:t>
      </w:r>
      <w:r w:rsidR="00BA3CC7">
        <w:t xml:space="preserve"> The region 1.1 to 1.4 kb upstream of </w:t>
      </w:r>
      <w:r w:rsidR="00BA3CC7">
        <w:rPr>
          <w:i/>
        </w:rPr>
        <w:t>zen</w:t>
      </w:r>
      <w:r w:rsidR="00BA3CC7">
        <w:t xml:space="preserve"> is known as the </w:t>
      </w:r>
      <w:r w:rsidR="00BA3CC7">
        <w:rPr>
          <w:i/>
        </w:rPr>
        <w:t>zen</w:t>
      </w:r>
      <w:r w:rsidR="00BA3CC7">
        <w:t xml:space="preserve"> ventral repression region (VRR) and contains four Dorsal sites that function, cooperatively with Deadringer/Retained and Cut, to recruit Gro to repress </w:t>
      </w:r>
      <w:r w:rsidR="00BA3CC7">
        <w:rPr>
          <w:i/>
        </w:rPr>
        <w:t>zen</w:t>
      </w:r>
      <w:r w:rsidR="00BA3CC7">
        <w:t xml:space="preserve"> ventrally in the early embryo {Valentine, 1998 #3036}. Groucho binds within the VRR during the 1.5 - 4 hr timepoint, consistent with Groucho-mediated repression at this stage. However, the majority of binding is outside of the VRR, both immediately upstream of the VRR and downstream. The downstream region overlaps the transcriptional start site of </w:t>
      </w:r>
      <w:r w:rsidR="00BA3CC7">
        <w:rPr>
          <w:i/>
        </w:rPr>
        <w:t>zen</w:t>
      </w:r>
      <w:r w:rsidR="00BA3CC7">
        <w:t xml:space="preserve"> and continues 700 bp upstream. Groucho binding shifts during the next timepoint, and is lost entirely by the third timepoint analyzed. </w:t>
      </w:r>
      <w:r w:rsidR="00BA3CC7">
        <w:rPr>
          <w:b/>
        </w:rPr>
        <w:t>(B)</w:t>
      </w:r>
      <w:r w:rsidR="00BA3CC7">
        <w:t xml:space="preserve"> Groucho binds downstream and inside intronic regions of </w:t>
      </w:r>
      <w:r w:rsidR="00BA3CC7">
        <w:rPr>
          <w:i/>
        </w:rPr>
        <w:t>dpp</w:t>
      </w:r>
      <w:r w:rsidR="00BA3CC7">
        <w:t xml:space="preserve">, which </w:t>
      </w:r>
      <w:r w:rsidR="00963DBA">
        <w:t>similarly</w:t>
      </w:r>
      <w:r w:rsidR="00BA3CC7">
        <w:t xml:space="preserve"> to </w:t>
      </w:r>
      <w:r w:rsidR="00BA3CC7">
        <w:rPr>
          <w:i/>
        </w:rPr>
        <w:t>zen</w:t>
      </w:r>
      <w:r w:rsidR="00BA3CC7">
        <w:t xml:space="preserve"> is represssed ventrally by Groucho and Dorsal activity {Dubnicoff, 1997 #2366} in the early (0 - 2 hr) embryo. At later developmental stages, </w:t>
      </w:r>
      <w:r w:rsidR="00BA3CC7">
        <w:rPr>
          <w:i/>
        </w:rPr>
        <w:t>dpp</w:t>
      </w:r>
      <w:r w:rsidR="00BA3CC7">
        <w:t xml:space="preserve"> repression is mediated through a 3' cis-regulatory region containing multiple pangolin/TCF and brinker binding sites.</w:t>
      </w:r>
    </w:p>
    <w:p w14:paraId="6B1A4134" w14:textId="3A46B05A" w:rsidR="00BA3CC7" w:rsidRDefault="00DE3BBE" w:rsidP="00DE3BBE">
      <w:pPr>
        <w:pStyle w:val="BodyText"/>
        <w:spacing w:line="480" w:lineRule="auto"/>
        <w:outlineLvl w:val="0"/>
      </w:pPr>
      <w:r>
        <w:br w:type="page"/>
      </w:r>
      <w:r w:rsidR="00797813">
        <w:lastRenderedPageBreak/>
        <w:t>Fig. 2-11</w:t>
      </w:r>
      <w:r w:rsidR="00A16899">
        <w:rPr>
          <w:noProof/>
        </w:rPr>
        <w:drawing>
          <wp:inline distT="0" distB="0" distL="0" distR="0" wp14:anchorId="18F04F44" wp14:editId="43B28613">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39A9C56F" w14:textId="0DEAFA6A" w:rsidR="00C0135E" w:rsidRDefault="00797813" w:rsidP="00C0135E">
      <w:pPr>
        <w:spacing w:line="480" w:lineRule="auto"/>
        <w:rPr>
          <w:b/>
        </w:rPr>
      </w:pPr>
      <w:r>
        <w:rPr>
          <w:b/>
        </w:rPr>
        <w:lastRenderedPageBreak/>
        <w:t>Figure 2-12</w:t>
      </w:r>
      <w:r w:rsidR="00C0135E">
        <w:rPr>
          <w:b/>
        </w:rPr>
        <w:t xml:space="preserve">.  Groucho associates with a subset of Dorsal-activated genes in the presumptive mesoderm. (A) </w:t>
      </w:r>
      <w:r w:rsidR="00C0135E">
        <w:t xml:space="preserve">Two cis-regulatory regions have been identified upstream of </w:t>
      </w:r>
      <w:r w:rsidR="00C0135E">
        <w:rPr>
          <w:i/>
        </w:rPr>
        <w:t>snail</w:t>
      </w:r>
      <w:r w:rsidR="00C0135E">
        <w:t xml:space="preserve">, either of which is sufficient for Dorsal-mediated activation of the gene in ventral regions of the early (2 – 3 hr) embryo, leading to the hypothesis that the shadow enhancer is involved in fine-tuning </w:t>
      </w:r>
      <w:r w:rsidR="00C0135E">
        <w:rPr>
          <w:i/>
        </w:rPr>
        <w:t xml:space="preserve">snail </w:t>
      </w:r>
      <w:r w:rsidR="00C0135E">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sidR="00C0135E">
        <w:rPr>
          <w:i/>
        </w:rPr>
        <w:t xml:space="preserve">snail </w:t>
      </w:r>
      <w:r w:rsidR="00C0135E">
        <w:t xml:space="preserve">expression later in development. </w:t>
      </w:r>
      <w:r w:rsidR="00C0135E">
        <w:rPr>
          <w:b/>
        </w:rPr>
        <w:t>(B)</w:t>
      </w:r>
      <w:r w:rsidR="00C0135E">
        <w:t xml:space="preserve"> In contrast, recruitment of Groucho to the </w:t>
      </w:r>
      <w:r w:rsidR="00C0135E">
        <w:rPr>
          <w:i/>
        </w:rPr>
        <w:t xml:space="preserve">twist </w:t>
      </w:r>
      <w:r w:rsidR="00C0135E">
        <w:t xml:space="preserve">locus is relatively weak. Dorsal binds within the ventral activation region (VAR) directly upstream of </w:t>
      </w:r>
      <w:r w:rsidR="00C0135E" w:rsidRPr="00DE3FE3">
        <w:rPr>
          <w:i/>
        </w:rPr>
        <w:t>twist</w:t>
      </w:r>
      <w:r w:rsidR="00C0135E">
        <w:rPr>
          <w:i/>
        </w:rPr>
        <w:t xml:space="preserve">, </w:t>
      </w:r>
      <w:r w:rsidR="00C0135E">
        <w:t xml:space="preserve">where it serves to activate gene expression via the cooperation of the co-activator dCBP. A small yet significant Gro peak is present within this region during the first time window, but disappears by later stages. </w:t>
      </w:r>
      <w:r w:rsidR="00C0135E">
        <w:rPr>
          <w:i/>
        </w:rPr>
        <w:t xml:space="preserve"> </w:t>
      </w:r>
      <w:r w:rsidR="00C0135E" w:rsidRPr="00DE3FE3">
        <w:t>While</w:t>
      </w:r>
      <w:r w:rsidR="00C0135E">
        <w:t xml:space="preserve"> Groucho may be involved in repressing </w:t>
      </w:r>
      <w:r w:rsidR="00C0135E">
        <w:rPr>
          <w:i/>
        </w:rPr>
        <w:t>snail</w:t>
      </w:r>
      <w:r w:rsidR="00C0135E">
        <w:t xml:space="preserve">, in dorsal and dorsolateral regions of the embryo, it appears </w:t>
      </w:r>
      <w:r w:rsidR="00C0135E">
        <w:rPr>
          <w:i/>
        </w:rPr>
        <w:t xml:space="preserve">twist </w:t>
      </w:r>
      <w:r w:rsidR="00C0135E">
        <w:t>repression is initiated or maintained by another, unknown, mechanism.</w:t>
      </w:r>
      <w:r w:rsidR="00C0135E">
        <w:rPr>
          <w:b/>
        </w:rPr>
        <w:br w:type="page"/>
      </w:r>
    </w:p>
    <w:p w14:paraId="4107FD21" w14:textId="203346B0" w:rsidR="00C0135E" w:rsidRDefault="00797813" w:rsidP="00C0135E">
      <w:pPr>
        <w:rPr>
          <w:b/>
        </w:rPr>
      </w:pPr>
      <w:r>
        <w:lastRenderedPageBreak/>
        <w:t>Fig. 2-12</w:t>
      </w:r>
      <w:r w:rsidR="00963DBA">
        <w:rPr>
          <w:noProof/>
        </w:rPr>
        <w:drawing>
          <wp:inline distT="0" distB="0" distL="0" distR="0" wp14:anchorId="4759C511" wp14:editId="0C3560C5">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sidR="00C0135E">
        <w:rPr>
          <w:b/>
        </w:rPr>
        <w:br w:type="page"/>
      </w:r>
    </w:p>
    <w:p w14:paraId="17E8633D" w14:textId="0438B2ED" w:rsidR="00FB3A61" w:rsidRDefault="00797813" w:rsidP="00FB3A61">
      <w:pPr>
        <w:pStyle w:val="BodyText"/>
        <w:spacing w:line="480" w:lineRule="auto"/>
      </w:pPr>
      <w:r>
        <w:rPr>
          <w:b/>
        </w:rPr>
        <w:lastRenderedPageBreak/>
        <w:t>Figure 2-13</w:t>
      </w:r>
      <w:r w:rsidR="00FB3A61">
        <w:rPr>
          <w:b/>
        </w:rPr>
        <w:t>. Groucho is recruited to Dorsal-activated genes in early embryos.</w:t>
      </w:r>
      <w:r w:rsidR="00FB3A61">
        <w:t xml:space="preserve"> Rhomboid (rho), Single-minded (sim), and Short gastrulation (sog) are activated through Dorsal activity in ventrolateral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{Dubnicoff, 1997 #2366}. </w:t>
      </w:r>
      <w:r w:rsidR="00FB3A61">
        <w:rPr>
          <w:b/>
        </w:rPr>
        <w:t>(A)</w:t>
      </w:r>
      <w:r w:rsidR="00FB3A61">
        <w:t xml:space="preserve"> However, Groucho is recruited both upstream of </w:t>
      </w:r>
      <w:r w:rsidR="00FB3A61">
        <w:rPr>
          <w:i/>
        </w:rPr>
        <w:t>rho</w:t>
      </w:r>
      <w:r w:rsidR="00FB3A61">
        <w:t xml:space="preserve"> within known two known CRMs at early timepoints and overlapping its TSS, suggesting a previously unidentified role of Gro in regulating </w:t>
      </w:r>
      <w:r w:rsidR="00FB3A61">
        <w:rPr>
          <w:i/>
        </w:rPr>
        <w:t>rho</w:t>
      </w:r>
      <w:r w:rsidR="00FB3A61">
        <w:t xml:space="preserve"> expression. </w:t>
      </w:r>
      <w:r w:rsidR="00FB3A61">
        <w:rPr>
          <w:b/>
        </w:rPr>
        <w:t>(B)</w:t>
      </w:r>
      <w:r w:rsidR="00FB3A61">
        <w:t xml:space="preserve"> and </w:t>
      </w:r>
      <w:r w:rsidR="00FB3A61">
        <w:rPr>
          <w:b/>
        </w:rPr>
        <w:t>(C)</w:t>
      </w:r>
      <w:r w:rsidR="00FB3A61">
        <w:t xml:space="preserve"> Additionally, Gro binds within the intronic regions of </w:t>
      </w:r>
      <w:r w:rsidR="00FB3A61">
        <w:rPr>
          <w:i/>
        </w:rPr>
        <w:t>sim</w:t>
      </w:r>
      <w:r w:rsidR="00FB3A61">
        <w:t xml:space="preserve"> and </w:t>
      </w:r>
      <w:r w:rsidR="00FB3A61">
        <w:rPr>
          <w:i/>
        </w:rPr>
        <w:t>sog</w:t>
      </w:r>
      <w:r w:rsidR="00FB3A61">
        <w:t xml:space="preserve"> at all timepoints.</w:t>
      </w:r>
    </w:p>
    <w:p w14:paraId="258C43B5" w14:textId="1EB5CAF4" w:rsidR="00BA3CC7" w:rsidRDefault="00DE3BBE" w:rsidP="00DE3BBE">
      <w:pPr>
        <w:pStyle w:val="BodyText"/>
        <w:spacing w:line="480" w:lineRule="auto"/>
        <w:outlineLvl w:val="0"/>
      </w:pPr>
      <w:r>
        <w:br w:type="page"/>
      </w:r>
      <w:r w:rsidR="00797813">
        <w:lastRenderedPageBreak/>
        <w:t>Fig. 2-13</w:t>
      </w:r>
      <w:r w:rsidR="00963DBA">
        <w:rPr>
          <w:noProof/>
        </w:rPr>
        <w:drawing>
          <wp:inline distT="0" distB="0" distL="0" distR="0" wp14:anchorId="0525AB11" wp14:editId="6FD9B354">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37CF4768" w14:textId="513D380C" w:rsidR="00C0135E" w:rsidRDefault="00797813" w:rsidP="00C0135E">
      <w:pPr>
        <w:spacing w:line="480" w:lineRule="auto"/>
      </w:pPr>
      <w:r>
        <w:rPr>
          <w:b/>
        </w:rPr>
        <w:lastRenderedPageBreak/>
        <w:t>Figure 2-14</w:t>
      </w:r>
      <w:r w:rsidR="00C0135E">
        <w:rPr>
          <w:b/>
        </w:rPr>
        <w:t xml:space="preserve">. Groucho is recruited to large subsets of known Dorsal/Twist/Snail-binding regulatory regions. (A) </w:t>
      </w:r>
      <w:r w:rsidR="00C0135E">
        <w:t xml:space="preserve">Dorsal binding sites can be subdivided into three classes, dependent on the degree these sites respond to the nuclear Dorsal gradient formed along the embryo’s dorsoventral axis. Class I (mesodermal) sites require the highest concentration of nuclear Dorsal for activation or repression to be initiated, while Class 3 requires the least Dorsal. Groucho overlap of these three classes of Dorsal binding sites is dependent on developmental stage, with a significant increase in association occurring during the 4 to 6.5 hour time window.  </w:t>
      </w:r>
      <w:r w:rsidR="00C0135E">
        <w:rPr>
          <w:b/>
        </w:rPr>
        <w:t xml:space="preserve">(B) </w:t>
      </w:r>
      <w:r w:rsidR="00C0135E">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rsidR="00C0135E">
        <w:br w:type="page"/>
      </w:r>
    </w:p>
    <w:p w14:paraId="25F3450A" w14:textId="61A722D9" w:rsidR="00C0135E" w:rsidRDefault="00797813" w:rsidP="00C0135E">
      <w:pPr>
        <w:pStyle w:val="BodyText"/>
        <w:spacing w:line="480" w:lineRule="auto"/>
      </w:pPr>
      <w:r>
        <w:lastRenderedPageBreak/>
        <w:t>Fig. 2-14</w:t>
      </w:r>
      <w:r w:rsidR="00C0135E">
        <w:rPr>
          <w:noProof/>
        </w:rPr>
        <w:drawing>
          <wp:inline distT="0" distB="0" distL="0" distR="0" wp14:anchorId="00AC4576" wp14:editId="6BF17583">
            <wp:extent cx="5935345" cy="7680960"/>
            <wp:effectExtent l="0" t="0" r="0" b="0"/>
            <wp:docPr id="47" name="Picture 47" descr="ch2_groucho.figures.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2_groucho.figures.split.24.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5DFCD21A" w14:textId="0AAE2985" w:rsidR="0004659D" w:rsidRPr="002D149A" w:rsidRDefault="0004659D" w:rsidP="00F10D2C">
      <w:pPr>
        <w:spacing w:line="480" w:lineRule="auto"/>
        <w:rPr>
          <w:b/>
        </w:rPr>
      </w:pPr>
      <w:r w:rsidRPr="002D149A">
        <w:rPr>
          <w:b/>
        </w:rPr>
        <w:lastRenderedPageBreak/>
        <w:t>Fig. 2-</w:t>
      </w:r>
      <w:r>
        <w:rPr>
          <w:b/>
        </w:rPr>
        <w:t xml:space="preserve"> </w:t>
      </w:r>
      <w:r w:rsidR="00797813">
        <w:rPr>
          <w:b/>
        </w:rPr>
        <w:t>15</w:t>
      </w:r>
      <w:r>
        <w:rPr>
          <w:b/>
        </w:rPr>
        <w:t>. The majority of Groucho recruitment sites in the early embryo additionally bind Dorsal, Dichaete, and, less frequently, multiple additional factors.</w:t>
      </w:r>
      <w:r w:rsidR="00F10D2C">
        <w:rPr>
          <w:b/>
        </w:rPr>
        <w:t xml:space="preserve"> </w:t>
      </w:r>
      <w:r w:rsidR="00F10D2C">
        <w:t xml:space="preserve">A clustered heatmap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p>
    <w:p w14:paraId="47151A71" w14:textId="5EF148C2" w:rsidR="0004659D" w:rsidRDefault="0004659D" w:rsidP="0004659D">
      <w:r>
        <w:lastRenderedPageBreak/>
        <w:t>Fig. 2-</w:t>
      </w:r>
      <w:r w:rsidR="00797813">
        <w:t>15</w:t>
      </w:r>
      <w:r>
        <w:rPr>
          <w:noProof/>
        </w:rPr>
        <w:drawing>
          <wp:inline distT="0" distB="0" distL="0" distR="0" wp14:anchorId="0FA44994" wp14:editId="2CA7752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p w14:paraId="39655A5C" w14:textId="18BCDDDE" w:rsidR="005D2428" w:rsidRDefault="005D2428" w:rsidP="005D2428">
      <w:pPr>
        <w:spacing w:line="480" w:lineRule="auto"/>
      </w:pPr>
      <w:r>
        <w:rPr>
          <w:b/>
        </w:rPr>
        <w:lastRenderedPageBreak/>
        <w:t>Figure 2-1</w:t>
      </w:r>
      <w:r w:rsidR="00797813">
        <w:rPr>
          <w:b/>
        </w:rPr>
        <w:t>6</w:t>
      </w:r>
      <w:r>
        <w:rPr>
          <w:b/>
        </w:rPr>
        <w:t xml:space="preserve">. Groucho binding correlates with the binding profiles of additional transcription factors involved in embryonic patterning in a temporally discrete manner. </w:t>
      </w:r>
      <w:r>
        <w:t xml:space="preserve">Enrichment scores representing overlap of Groucho binding (as determined by ChIP-seq) with 21 previously published ChIP-seq data sets {MacArthur, 2009 #6} generated from 2 – 3.5 hr embryos. Known Gro interacting proteins are indicated via asterisks. </w:t>
      </w:r>
      <w:r w:rsidRPr="00C4631D">
        <w:rPr>
          <w:b/>
        </w:rPr>
        <w:t>(top)</w:t>
      </w:r>
      <w:r>
        <w:t xml:space="preserve"> Groucho exhibits significant overlap with several anterior-posterior patterning factors, across the first two timepoints. Surprisingly little overlap was observed between Gro and Knirps (kni), despite the two proteins’ physical interaction {Payankaulam, 2009 #2955}. </w:t>
      </w:r>
      <w:r w:rsidRPr="00C4631D">
        <w:rPr>
          <w:b/>
        </w:rPr>
        <w:t>(bottom)</w:t>
      </w:r>
      <w:r>
        <w:t xml:space="preserve"> Groucho colocalizes with the majority of dorsal-ventral patterning genes assayed during the second timepoint, the most significant exception being snail, which Groucho preferentially colocalizes with during the initial time window. </w:t>
      </w:r>
    </w:p>
    <w:p w14:paraId="004840E2" w14:textId="0D93E874" w:rsidR="005D2428" w:rsidRDefault="005D2428" w:rsidP="005D2428">
      <w:pPr>
        <w:pStyle w:val="BodyText"/>
        <w:spacing w:line="480" w:lineRule="auto"/>
      </w:pPr>
      <w:r>
        <w:lastRenderedPageBreak/>
        <w:t>Fig. 2-1</w:t>
      </w:r>
      <w:r w:rsidR="00797813">
        <w:t>6</w:t>
      </w:r>
      <w:r>
        <w:rPr>
          <w:noProof/>
        </w:rPr>
        <w:drawing>
          <wp:inline distT="0" distB="0" distL="0" distR="0" wp14:anchorId="6EEDE030" wp14:editId="36BE7339">
            <wp:extent cx="5933440" cy="7689215"/>
            <wp:effectExtent l="0" t="0" r="0" b="0"/>
            <wp:docPr id="49" name="Picture 49"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2_groucho.figures.split.23.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3440" cy="7689215"/>
                    </a:xfrm>
                    <a:prstGeom prst="rect">
                      <a:avLst/>
                    </a:prstGeom>
                    <a:noFill/>
                    <a:ln>
                      <a:noFill/>
                    </a:ln>
                  </pic:spPr>
                </pic:pic>
              </a:graphicData>
            </a:graphic>
          </wp:inline>
        </w:drawing>
      </w:r>
    </w:p>
    <w:p w14:paraId="2E92A389" w14:textId="608ABD35" w:rsidR="00A373F3" w:rsidRDefault="00797813" w:rsidP="00A373F3">
      <w:pPr>
        <w:pStyle w:val="BodyText"/>
        <w:spacing w:line="480" w:lineRule="auto"/>
      </w:pPr>
      <w:r>
        <w:rPr>
          <w:b/>
        </w:rPr>
        <w:lastRenderedPageBreak/>
        <w:t>Figure 2-17</w:t>
      </w:r>
      <w:r w:rsidR="00A373F3">
        <w:rPr>
          <w:b/>
        </w:rPr>
        <w:t>. Confirmation of changes in Groucho transcript concentration across timepoints.</w:t>
      </w:r>
      <w:r w:rsidR="00A373F3">
        <w:t xml:space="preserve"> </w:t>
      </w:r>
      <w:r w:rsidR="00A373F3">
        <w:rPr>
          <w:b/>
        </w:rPr>
        <w:t>(A)</w:t>
      </w:r>
      <w:r w:rsidR="00A373F3">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sidR="00A373F3">
        <w:rPr>
          <w:b/>
        </w:rPr>
        <w:t>(B)</w:t>
      </w:r>
      <w:r w:rsidR="00A373F3">
        <w:t xml:space="preserve"> Our Gro wild-type expresssion pattern is consistent with modENCODE developmental timecourse transcriptome data {Graveley, 2011 #3044}, which shows a peak of Groucho transcript level during 2 to 4 hours post-fertilization, followed by a steady decrease through the remainder of embryonic development.</w:t>
      </w:r>
    </w:p>
    <w:p w14:paraId="4A988700" w14:textId="45099076" w:rsidR="00A373F3" w:rsidRDefault="00DE3BBE" w:rsidP="00DE3BBE">
      <w:pPr>
        <w:pStyle w:val="BodyText"/>
        <w:spacing w:line="480" w:lineRule="auto"/>
        <w:outlineLvl w:val="0"/>
      </w:pPr>
      <w:r>
        <w:br w:type="page"/>
      </w:r>
      <w:r w:rsidR="00797813">
        <w:lastRenderedPageBreak/>
        <w:t>Fig. 2-17</w:t>
      </w:r>
      <w:r w:rsidR="00BA507F">
        <w:rPr>
          <w:noProof/>
        </w:rPr>
        <w:drawing>
          <wp:inline distT="0" distB="0" distL="0" distR="0" wp14:anchorId="594338BF" wp14:editId="58B5ED9A">
            <wp:extent cx="5937250" cy="7687310"/>
            <wp:effectExtent l="0" t="0" r="0" b="0"/>
            <wp:docPr id="11" name="Picture 11"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14.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r>
        <w:br w:type="page"/>
      </w:r>
    </w:p>
    <w:p w14:paraId="5CDC6269" w14:textId="68757CC9" w:rsidR="00A373F3" w:rsidRDefault="00797813" w:rsidP="00A373F3">
      <w:pPr>
        <w:pStyle w:val="BodyText"/>
        <w:spacing w:line="480" w:lineRule="auto"/>
      </w:pPr>
      <w:r>
        <w:rPr>
          <w:b/>
        </w:rPr>
        <w:lastRenderedPageBreak/>
        <w:t>Figure 2-18</w:t>
      </w:r>
      <w:r w:rsidR="00A373F3">
        <w:rPr>
          <w:b/>
        </w:rPr>
        <w:t>. Clustering of embryonic transcriptomes across Gro levels and timepoints and between replicates.</w:t>
      </w:r>
      <w:r w:rsidR="00A373F3">
        <w:t xml:space="preserve"> Pair-wise Spearman correlation coeffients were used to cluster transcriptome profiles by overall similarity. Transcriptomes tend to cluster by timepoint, then by Gro expression level. The notable exception are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Gro overexpression, OE2 - 4x Gro overexpression, dGro - Gro maternal loss-of-function, dSP - Gro</w:t>
      </w:r>
    </w:p>
    <w:p w14:paraId="0DB84B30" w14:textId="4C73B80F" w:rsidR="00A373F3" w:rsidRDefault="00DE3BBE" w:rsidP="00DE3BBE">
      <w:pPr>
        <w:pStyle w:val="BodyText"/>
        <w:spacing w:line="480" w:lineRule="auto"/>
        <w:outlineLvl w:val="0"/>
      </w:pPr>
      <w:r>
        <w:br w:type="page"/>
      </w:r>
      <w:r w:rsidR="00797813">
        <w:lastRenderedPageBreak/>
        <w:t>Fig. 2-18</w:t>
      </w:r>
      <w:r w:rsidR="00F45B95">
        <w:rPr>
          <w:noProof/>
        </w:rPr>
        <w:drawing>
          <wp:inline distT="0" distB="0" distL="0" distR="0" wp14:anchorId="6D123CBC" wp14:editId="0D4A75D9">
            <wp:extent cx="5935345" cy="7680960"/>
            <wp:effectExtent l="0" t="0" r="0" b="0"/>
            <wp:docPr id="34" name="Picture 34"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13.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0CB39CC" w14:textId="6C6D6500" w:rsidR="00A373F3" w:rsidRPr="00FF7983" w:rsidRDefault="00797813" w:rsidP="00A373F3">
      <w:pPr>
        <w:pStyle w:val="BodyText"/>
        <w:spacing w:line="480" w:lineRule="auto"/>
      </w:pPr>
      <w:r>
        <w:rPr>
          <w:b/>
        </w:rPr>
        <w:lastRenderedPageBreak/>
        <w:t>Figure 2-19</w:t>
      </w:r>
      <w:r w:rsidR="00A373F3">
        <w:rPr>
          <w:b/>
        </w:rPr>
        <w:t xml:space="preserve">. Principal component analysis reveals overexpression lines have high inter-group similarity.  </w:t>
      </w:r>
      <w:r w:rsidR="00A373F3">
        <w:t>Principal component analysis was performed on transcriptome profiles from wild-type, Gro loss-of-function, and three Gro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 and scaling of each data-set (represented as a point in ~15,000 dimensional space) such that all points fall onto a two-dimensional plane.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timepoint, while the y-axis captures to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p>
    <w:p w14:paraId="5F7507D9" w14:textId="18E1DC14" w:rsidR="00A373F3" w:rsidRDefault="00DE3BBE" w:rsidP="00DE3BBE">
      <w:pPr>
        <w:pStyle w:val="BodyText"/>
        <w:spacing w:line="480" w:lineRule="auto"/>
        <w:outlineLvl w:val="0"/>
      </w:pPr>
      <w:r>
        <w:br w:type="page"/>
      </w:r>
      <w:r w:rsidR="00797813">
        <w:lastRenderedPageBreak/>
        <w:t>Fig. 2-19</w:t>
      </w:r>
      <w:r w:rsidR="00F45B95">
        <w:rPr>
          <w:noProof/>
        </w:rPr>
        <w:drawing>
          <wp:inline distT="0" distB="0" distL="0" distR="0" wp14:anchorId="6D998C02" wp14:editId="5E4CE834">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1FE9286" w14:textId="31698C6E" w:rsidR="00C94186" w:rsidRDefault="00FB3A61" w:rsidP="00C94186">
      <w:pPr>
        <w:pStyle w:val="BodyText"/>
        <w:spacing w:line="480" w:lineRule="auto"/>
      </w:pPr>
      <w:r>
        <w:rPr>
          <w:b/>
        </w:rPr>
        <w:lastRenderedPageBreak/>
        <w:t>Figure 2</w:t>
      </w:r>
      <w:r w:rsidR="00797813">
        <w:rPr>
          <w:b/>
        </w:rPr>
        <w:t>-20</w:t>
      </w:r>
      <w:r w:rsidR="00C94186">
        <w:rPr>
          <w:b/>
        </w:rPr>
        <w:t>. Perturbation of Groucho expression levels results in the mis-regulation of thousands of genes.</w:t>
      </w:r>
      <w:r w:rsidR="00C94186">
        <w:t xml:space="preserve"> Maternal deficiency of Gro activity results in a large proportion (&gt;10%) of expressed genes to become misregulated in the Drosophila embryo across all timepoints. The fraction of misregulated genes is approximately evenly split between up- and down-regulation. Overexpression of wild-type Gro at two levels (approx. 2x and 4x endogenous), or a Gro mutant lacking the SP domain (GrodSP), results in a smaller, but still significant alteration of the embryonic transcription profile.</w:t>
      </w:r>
    </w:p>
    <w:p w14:paraId="0E47F23A" w14:textId="1962E303" w:rsidR="00C94186" w:rsidRDefault="00DE3BBE" w:rsidP="00DE3BBE">
      <w:pPr>
        <w:pStyle w:val="BodyText"/>
        <w:spacing w:line="480" w:lineRule="auto"/>
        <w:outlineLvl w:val="0"/>
      </w:pPr>
      <w:r>
        <w:br w:type="page"/>
      </w:r>
      <w:r w:rsidR="00797813">
        <w:lastRenderedPageBreak/>
        <w:t>Fig. 2-20</w:t>
      </w:r>
      <w:r w:rsidR="00F45B95">
        <w:rPr>
          <w:noProof/>
        </w:rPr>
        <w:drawing>
          <wp:inline distT="0" distB="0" distL="0" distR="0" wp14:anchorId="17D48D63" wp14:editId="0480186A">
            <wp:extent cx="5935345" cy="7680960"/>
            <wp:effectExtent l="0" t="0" r="0" b="0"/>
            <wp:docPr id="38" name="Picture 38" descr="ch2_groucho.figures.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2_groucho.figures.split.15.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178A190" w14:textId="30BA0A7C" w:rsidR="00C612CF" w:rsidRPr="00B52DEC" w:rsidRDefault="00797813" w:rsidP="00C612CF">
      <w:pPr>
        <w:pStyle w:val="BodyText"/>
        <w:spacing w:line="480" w:lineRule="auto"/>
      </w:pPr>
      <w:r>
        <w:rPr>
          <w:b/>
        </w:rPr>
        <w:lastRenderedPageBreak/>
        <w:t>Figure 2-21</w:t>
      </w:r>
      <w:r w:rsidR="00C612CF">
        <w:rPr>
          <w:b/>
        </w:rPr>
        <w:t>. The three Groucho overexpression lines show similar patterns of altered gene expression, though significant differences in the magnitude of gene expression changes are evident.</w:t>
      </w:r>
      <w:r w:rsidR="001529D3">
        <w:rPr>
          <w:b/>
        </w:rPr>
        <w:t xml:space="preserve"> </w:t>
      </w:r>
      <w:r w:rsidR="00B52DEC">
        <w:t>Paired scatterplots of log</w:t>
      </w:r>
      <w:r w:rsidR="00B52DEC">
        <w:rPr>
          <w:vertAlign w:val="subscript"/>
        </w:rPr>
        <w:t>2</w:t>
      </w:r>
      <w:r w:rsidR="00B52DEC">
        <w:t xml:space="preserve">(fold-change) of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sidR="00B52DEC">
        <w:rPr>
          <w:b/>
        </w:rPr>
        <w:t xml:space="preserve">(A) </w:t>
      </w:r>
      <w:r w:rsidR="00B52DEC">
        <w:t xml:space="preserve">At the earliest timepoint, the majority of effected genes exhibit decreased expression, consistent with increased repression via Gro. This effect becomes less pronounced at later timepoints. </w:t>
      </w:r>
      <w:r w:rsidR="00B52DEC">
        <w:rPr>
          <w:b/>
        </w:rPr>
        <w:t>(B &amp; C)</w:t>
      </w:r>
      <w:r w:rsidR="00B52DEC">
        <w:t>.</w:t>
      </w:r>
    </w:p>
    <w:p w14:paraId="1BDB03CE" w14:textId="5A8320B0" w:rsidR="00C612CF" w:rsidRDefault="00DE3BBE" w:rsidP="00DE3BBE">
      <w:pPr>
        <w:pStyle w:val="BodyText"/>
        <w:spacing w:line="480" w:lineRule="auto"/>
        <w:outlineLvl w:val="0"/>
      </w:pPr>
      <w:r>
        <w:br w:type="page"/>
      </w:r>
      <w:r w:rsidR="00797813">
        <w:lastRenderedPageBreak/>
        <w:t>Fig. 2-21</w:t>
      </w:r>
      <w:r w:rsidR="00F45B95">
        <w:rPr>
          <w:noProof/>
        </w:rPr>
        <w:drawing>
          <wp:inline distT="0" distB="0" distL="0" distR="0" wp14:anchorId="63A32C30" wp14:editId="3B008562">
            <wp:extent cx="5935345" cy="7680960"/>
            <wp:effectExtent l="0" t="0" r="0" b="0"/>
            <wp:docPr id="39" name="Picture 39" descr="ch2_groucho.figures.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2_groucho.figures.split.16.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r w:rsidR="00797813">
        <w:lastRenderedPageBreak/>
        <w:t>Fig. 2-21</w:t>
      </w:r>
      <w:r w:rsidR="00F45B95">
        <w:t xml:space="preserve"> (cont)</w:t>
      </w:r>
      <w:r w:rsidR="00F45B95">
        <w:rPr>
          <w:noProof/>
        </w:rPr>
        <w:drawing>
          <wp:inline distT="0" distB="0" distL="0" distR="0" wp14:anchorId="63A23B15" wp14:editId="7E838899">
            <wp:extent cx="5935345" cy="7680960"/>
            <wp:effectExtent l="0" t="0" r="0" b="0"/>
            <wp:docPr id="40" name="Picture 40"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2_groucho.figures.split.17.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C612CF">
        <w:t xml:space="preserve"> </w:t>
      </w:r>
      <w:r>
        <w:br w:type="page"/>
      </w:r>
    </w:p>
    <w:p w14:paraId="34081CA1" w14:textId="45DB26BC" w:rsidR="003A3ABD" w:rsidRDefault="00797813" w:rsidP="003A3ABD">
      <w:pPr>
        <w:pStyle w:val="BodyText"/>
        <w:spacing w:line="480" w:lineRule="auto"/>
        <w:rPr>
          <w:b/>
        </w:rPr>
      </w:pPr>
      <w:r>
        <w:rPr>
          <w:b/>
        </w:rPr>
        <w:lastRenderedPageBreak/>
        <w:t>Figure 2-22</w:t>
      </w:r>
      <w:r w:rsidR="003A3ABD">
        <w:rPr>
          <w:b/>
        </w:rPr>
        <w:t xml:space="preserve">. Gro loss-of-function and Gro overexpression have opposite magnitude effects on a small percentage of all Groucho-effected genes. </w:t>
      </w:r>
    </w:p>
    <w:p w14:paraId="363F0CDA" w14:textId="1023FB8F" w:rsidR="003A3ABD" w:rsidRDefault="00DE3BBE" w:rsidP="00DE3BBE">
      <w:pPr>
        <w:pStyle w:val="BodyText"/>
        <w:spacing w:line="480" w:lineRule="auto"/>
        <w:outlineLvl w:val="0"/>
      </w:pPr>
      <w:r>
        <w:br w:type="page"/>
      </w:r>
      <w:r w:rsidR="00797813">
        <w:lastRenderedPageBreak/>
        <w:t>Fig. 2-22</w:t>
      </w:r>
      <w:r w:rsidR="00F45B95">
        <w:rPr>
          <w:noProof/>
        </w:rPr>
        <w:drawing>
          <wp:inline distT="0" distB="0" distL="0" distR="0" wp14:anchorId="0BC08542" wp14:editId="42919838">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ACDDFC9" w14:textId="1D9B3B72" w:rsidR="00FB3A61" w:rsidRPr="003A3ABD" w:rsidRDefault="00797813" w:rsidP="00FB3A61">
      <w:pPr>
        <w:pStyle w:val="BodyText"/>
        <w:spacing w:line="480" w:lineRule="auto"/>
      </w:pPr>
      <w:r>
        <w:rPr>
          <w:b/>
        </w:rPr>
        <w:lastRenderedPageBreak/>
        <w:t>Figure 2-23</w:t>
      </w:r>
      <w:r w:rsidR="00FB3A61">
        <w:rPr>
          <w:b/>
        </w:rPr>
        <w:t xml:space="preserve">. The majority of high-confidence Groucho targets are differentially expressed in both Gro overexpression lines. </w:t>
      </w:r>
      <w:r w:rsidR="00FB3A61">
        <w:t>Limiting the list of Groucho regulated genes by ChIP-seq and RNA-seq data resulted in a total of 248 target genes. Of these genes, 61% are repressed in both the 2x and 4x Gro overexpression embryos.</w:t>
      </w:r>
    </w:p>
    <w:p w14:paraId="06D23F2A" w14:textId="42571283" w:rsidR="00FB3A61" w:rsidRDefault="00DE3BBE" w:rsidP="00DE3BBE">
      <w:pPr>
        <w:pStyle w:val="BodyText"/>
        <w:spacing w:line="480" w:lineRule="auto"/>
        <w:outlineLvl w:val="0"/>
      </w:pPr>
      <w:r>
        <w:br w:type="page"/>
      </w:r>
      <w:r w:rsidR="00797813">
        <w:lastRenderedPageBreak/>
        <w:t>Fig. 2-23</w:t>
      </w:r>
      <w:r w:rsidR="00F45B95">
        <w:rPr>
          <w:noProof/>
        </w:rPr>
        <w:drawing>
          <wp:inline distT="0" distB="0" distL="0" distR="0" wp14:anchorId="3A8CE2F7" wp14:editId="562CEB0C">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98869AF" w14:textId="77777777" w:rsidR="00797813" w:rsidRDefault="00797813" w:rsidP="00797813">
      <w:pPr>
        <w:spacing w:line="480" w:lineRule="auto"/>
      </w:pPr>
      <w:r>
        <w:rPr>
          <w:b/>
        </w:rPr>
        <w:lastRenderedPageBreak/>
        <w:t xml:space="preserve">Figure 2-24. High-confidence Groucho targets were identified through a scoring algorithm integrating binding data (ChIP-seq) with expression data measured under multiple Groucho dosages (RNA-seq). </w:t>
      </w:r>
      <w:r>
        <w:t>A score corresponding to the distribution of Groucho occupancy within and in adjacent areas of a gene was calculated using a previously published algorithm {Sandmann, 2007 #3048}. The algorithm was adjusted to allow for increased score contribution from regions binding more distantly from the target gene. Plotted are the number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p>
    <w:p w14:paraId="314B4F1E" w14:textId="77777777" w:rsidR="00797813" w:rsidRDefault="00797813" w:rsidP="00797813">
      <w:pPr>
        <w:pStyle w:val="BodyText"/>
        <w:spacing w:line="480" w:lineRule="auto"/>
      </w:pPr>
      <w:r>
        <w:lastRenderedPageBreak/>
        <w:t>Fig. 2-24</w:t>
      </w:r>
      <w:r>
        <w:rPr>
          <w:noProof/>
        </w:rPr>
        <w:drawing>
          <wp:inline distT="0" distB="0" distL="0" distR="0" wp14:anchorId="312704FF" wp14:editId="40F76EF9">
            <wp:extent cx="5937250" cy="7687310"/>
            <wp:effectExtent l="0" t="0" r="0" b="0"/>
            <wp:docPr id="12" name="Picture 12"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23.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p>
    <w:p w14:paraId="01491387" w14:textId="77777777" w:rsidR="00797813" w:rsidRPr="006B25C3" w:rsidRDefault="00797813" w:rsidP="00797813">
      <w:pPr>
        <w:pStyle w:val="BodyText"/>
        <w:spacing w:line="480" w:lineRule="auto"/>
      </w:pPr>
      <w:r>
        <w:rPr>
          <w:b/>
        </w:rPr>
        <w:lastRenderedPageBreak/>
        <w:t xml:space="preserve">Figure 2-25. Groucho-regulated genes are enriched for developmentally-regulated transcription factors. </w:t>
      </w:r>
      <w:r>
        <w:t>The most significantly enriched gene ontology groups of high-confidence Groucho target genes are uniformly related to developmental regulation, confirming Groucho’s role as a high-level regulatory node in the establishment of tissue fate during development.</w:t>
      </w:r>
    </w:p>
    <w:p w14:paraId="6B7EC329" w14:textId="77777777" w:rsidR="00797813" w:rsidRDefault="00797813" w:rsidP="00797813">
      <w:pPr>
        <w:pStyle w:val="BodyText"/>
        <w:spacing w:line="480" w:lineRule="auto"/>
        <w:outlineLvl w:val="0"/>
      </w:pPr>
      <w:r>
        <w:br w:type="page"/>
      </w:r>
      <w:r>
        <w:lastRenderedPageBreak/>
        <w:t>Fig. 2-25</w:t>
      </w:r>
      <w:r>
        <w:rPr>
          <w:noProof/>
        </w:rPr>
        <w:drawing>
          <wp:inline distT="0" distB="0" distL="0" distR="0" wp14:anchorId="7911E0AC" wp14:editId="3DE517B4">
            <wp:extent cx="5935345" cy="7680960"/>
            <wp:effectExtent l="0" t="0" r="0" b="0"/>
            <wp:docPr id="43" name="Picture 43"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2_groucho.figures.split.20.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5469805" w14:textId="77777777" w:rsidR="00797813" w:rsidRDefault="00797813" w:rsidP="00797813">
      <w:pPr>
        <w:pStyle w:val="BodyText"/>
        <w:spacing w:line="480" w:lineRule="auto"/>
      </w:pPr>
      <w:r>
        <w:rPr>
          <w:b/>
        </w:rPr>
        <w:lastRenderedPageBreak/>
        <w:t xml:space="preserve">Figure 2-26. Groucho regulated genes are enriched for stalled PolII. </w:t>
      </w:r>
      <w:r>
        <w:t>Published data classifying all Drosophila genes into four categories of PolII enrichment or depletion in 0 – 12 hour embryos was used to classify all Groucho-regulated genes at each timepoint. Between 18 and 22% of all Groucho-associated genes were found to contain stalled PolII. Stalled PolII genes were the only category to exhibit significant enrichment among putative Groucho-regulated genes (</w:t>
      </w:r>
      <w:r>
        <w:rPr>
          <w:i/>
        </w:rPr>
        <w:t xml:space="preserve">p-value </w:t>
      </w:r>
      <w:r>
        <w:t>&lt; 0.01, Fisher’s Exact Test).</w:t>
      </w:r>
    </w:p>
    <w:p w14:paraId="6042F372" w14:textId="77777777" w:rsidR="00797813" w:rsidRDefault="00797813" w:rsidP="00797813">
      <w:pPr>
        <w:pStyle w:val="BodyText"/>
        <w:spacing w:line="480" w:lineRule="auto"/>
      </w:pPr>
      <w:r>
        <w:br w:type="page"/>
      </w:r>
      <w:r>
        <w:lastRenderedPageBreak/>
        <w:t>Fig. 2-26</w:t>
      </w:r>
      <w:r>
        <w:rPr>
          <w:noProof/>
        </w:rPr>
        <w:drawing>
          <wp:inline distT="0" distB="0" distL="0" distR="0" wp14:anchorId="03825162" wp14:editId="3978BE78">
            <wp:extent cx="5935345" cy="7680960"/>
            <wp:effectExtent l="0" t="0" r="0" b="0"/>
            <wp:docPr id="45" name="Picture 45"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2_groucho.figures.split.22.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17D73028" w14:textId="7C6067DE" w:rsidR="006B25C3" w:rsidRDefault="003009E5" w:rsidP="006B25C3">
      <w:pPr>
        <w:pStyle w:val="BodyText"/>
        <w:spacing w:line="480" w:lineRule="auto"/>
      </w:pPr>
      <w:r>
        <w:rPr>
          <w:b/>
        </w:rPr>
        <w:lastRenderedPageBreak/>
        <w:t>Figure 2-.</w:t>
      </w:r>
      <w:r w:rsidR="006B25C3">
        <w:rPr>
          <w:b/>
        </w:rPr>
        <w:t xml:space="preserve"> Groucho-regulated genes are significantly enriched for Groucho binding within introns.</w:t>
      </w:r>
      <w:r w:rsidR="006B25C3">
        <w:t xml:space="preserve"> Genes that become differentially expressed in Groucho LoF or overexpressing embryos are specifically enriched for Groucho binding within introns. This effect is most strongly seen in the 2x and 4x overexpression lines, in which genes that become less transcribed are enriched 4- to 5-fold for Groucho binding compared to genes exhibiting no response.</w:t>
      </w:r>
    </w:p>
    <w:p w14:paraId="355F241B" w14:textId="05FE0DE0" w:rsidR="006B25C3" w:rsidRDefault="006B25C3" w:rsidP="006B25C3">
      <w:pPr>
        <w:pStyle w:val="BodyText"/>
        <w:spacing w:line="480" w:lineRule="auto"/>
      </w:pPr>
      <w:r>
        <w:br w:type="page"/>
      </w:r>
      <w:r w:rsidR="003009E5">
        <w:lastRenderedPageBreak/>
        <w:t>Fig. 2-</w:t>
      </w:r>
      <w:r>
        <w:rPr>
          <w:noProof/>
        </w:rPr>
        <w:drawing>
          <wp:inline distT="0" distB="0" distL="0" distR="0" wp14:anchorId="1DF8F4C8" wp14:editId="72D34F61">
            <wp:extent cx="5935345" cy="7680960"/>
            <wp:effectExtent l="0" t="0" r="0" b="0"/>
            <wp:docPr id="44" name="Picture 44"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2_groucho.figures.split.21.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BFBDB65" w14:textId="7E670F28" w:rsidR="00DE3FE3" w:rsidRDefault="00DE3FE3" w:rsidP="00B60A21">
      <w:pPr>
        <w:spacing w:line="480" w:lineRule="auto"/>
      </w:pPr>
      <w:r>
        <w:rPr>
          <w:b/>
        </w:rPr>
        <w:lastRenderedPageBreak/>
        <w:t>Fig</w:t>
      </w:r>
      <w:r w:rsidR="005D2428">
        <w:rPr>
          <w:b/>
        </w:rPr>
        <w:t>ure</w:t>
      </w:r>
      <w:r>
        <w:rPr>
          <w:b/>
        </w:rPr>
        <w:t xml:space="preserve"> 2-. Groucho bind</w:t>
      </w:r>
      <w:r w:rsidR="004C59BC">
        <w:rPr>
          <w:b/>
        </w:rPr>
        <w:t xml:space="preserve">s a large </w:t>
      </w:r>
      <w:r w:rsidR="00B60A21">
        <w:rPr>
          <w:b/>
        </w:rPr>
        <w:t>fraction</w:t>
      </w:r>
      <w:r w:rsidR="004C59BC">
        <w:rPr>
          <w:b/>
        </w:rPr>
        <w:t xml:space="preserve"> of both Dorsal-dependent and independent CBP binding sites in the early embryo. </w:t>
      </w:r>
      <w:r w:rsidR="00B60A21">
        <w:t>Overlap between Groucho binding across three time windows was calculated against two dCBP ChIP-seq data sets generated from 2 – 4 hour old embryos from embryos with normal (dCBP wt) or Dorsal-deficient embryos (dCBP gd7) {Holmqvist, 2012 #3115}. dCBP is recruited by Dorsal to sites throughout the ventral portions of the embryo to activate expression of several target genes, including twist. While Gro is recruited by Dorsal to facilitate gene repression</w:t>
      </w:r>
      <w:r w:rsidR="00B5324F">
        <w:t xml:space="preserve"> also in ventral regions, it is unexpected by the proposed model that Dorsal would recruit both factors. In support of this, we see that Groucho colocalization with Dorsal-dependent dCBP is low during the first timepoint, while colocalization with Dorsal-independent dCBP binding is quite high (an &gt; 8-fold enrichment)</w:t>
      </w:r>
      <w:r w:rsidR="002D149A">
        <w:t>.</w:t>
      </w:r>
      <w:r w:rsidR="00B5324F">
        <w:t xml:space="preserve"> </w:t>
      </w:r>
      <w:r>
        <w:br w:type="page"/>
      </w:r>
    </w:p>
    <w:p w14:paraId="3CEA91D5" w14:textId="52BD67FE" w:rsidR="00DE3FE3" w:rsidRDefault="00DE3FE3" w:rsidP="00510B86">
      <w:pPr>
        <w:pStyle w:val="BodyText"/>
        <w:spacing w:line="480" w:lineRule="auto"/>
      </w:pPr>
      <w:r>
        <w:lastRenderedPageBreak/>
        <w:t>Fig. 2-</w:t>
      </w:r>
      <w:bookmarkStart w:id="0" w:name="_GoBack"/>
      <w:bookmarkEnd w:id="0"/>
    </w:p>
    <w:p w14:paraId="0060AE6A" w14:textId="46D1D9A4" w:rsidR="000A3F5D" w:rsidRDefault="00DE3FE3" w:rsidP="00DE3FE3">
      <w:r>
        <w:rPr>
          <w:noProof/>
        </w:rPr>
        <w:drawing>
          <wp:inline distT="0" distB="0" distL="0" distR="0" wp14:anchorId="24B6ABD5" wp14:editId="37E0722F">
            <wp:extent cx="5943600" cy="7680960"/>
            <wp:effectExtent l="0" t="0" r="0" b="0"/>
            <wp:docPr id="50" name="Picture 50" descr="ch2_groucho.figures.split.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2_groucho.figures.split.26.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sectPr w:rsidR="000A3F5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25D938" w14:textId="77777777" w:rsidR="00BE5B43" w:rsidRDefault="00BE5B43">
      <w:pPr>
        <w:spacing w:after="0"/>
      </w:pPr>
      <w:r>
        <w:separator/>
      </w:r>
    </w:p>
  </w:endnote>
  <w:endnote w:type="continuationSeparator" w:id="0">
    <w:p w14:paraId="7662A380" w14:textId="77777777" w:rsidR="00BE5B43" w:rsidRDefault="00BE5B4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0B275FA" w14:textId="77777777" w:rsidR="00BE5B43" w:rsidRDefault="00BE5B43">
      <w:r>
        <w:separator/>
      </w:r>
    </w:p>
  </w:footnote>
  <w:footnote w:type="continuationSeparator" w:id="0">
    <w:p w14:paraId="7EF98D9D" w14:textId="77777777" w:rsidR="00BE5B43" w:rsidRDefault="00BE5B43">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FAECC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9C4B2F"/>
    <w:multiLevelType w:val="multilevel"/>
    <w:tmpl w:val="57085D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4659D"/>
    <w:rsid w:val="00060C27"/>
    <w:rsid w:val="00076159"/>
    <w:rsid w:val="000944B3"/>
    <w:rsid w:val="000A3F5D"/>
    <w:rsid w:val="001529D3"/>
    <w:rsid w:val="001818AD"/>
    <w:rsid w:val="001E584A"/>
    <w:rsid w:val="001F400E"/>
    <w:rsid w:val="0027114A"/>
    <w:rsid w:val="00285A9D"/>
    <w:rsid w:val="002D149A"/>
    <w:rsid w:val="002E569D"/>
    <w:rsid w:val="002E5D7F"/>
    <w:rsid w:val="003009E5"/>
    <w:rsid w:val="003339D9"/>
    <w:rsid w:val="00382CDF"/>
    <w:rsid w:val="003A3ABD"/>
    <w:rsid w:val="003A4782"/>
    <w:rsid w:val="004052D8"/>
    <w:rsid w:val="0048501F"/>
    <w:rsid w:val="004A3B77"/>
    <w:rsid w:val="004B5921"/>
    <w:rsid w:val="004C59BC"/>
    <w:rsid w:val="004E29B3"/>
    <w:rsid w:val="004E7A0B"/>
    <w:rsid w:val="00510B86"/>
    <w:rsid w:val="005349C8"/>
    <w:rsid w:val="0055234E"/>
    <w:rsid w:val="00590D07"/>
    <w:rsid w:val="005D2428"/>
    <w:rsid w:val="005D5121"/>
    <w:rsid w:val="005E0AE7"/>
    <w:rsid w:val="006252D8"/>
    <w:rsid w:val="0063434F"/>
    <w:rsid w:val="006706FB"/>
    <w:rsid w:val="006B25C3"/>
    <w:rsid w:val="006B77BB"/>
    <w:rsid w:val="00702B57"/>
    <w:rsid w:val="007173DF"/>
    <w:rsid w:val="00750F08"/>
    <w:rsid w:val="00784D58"/>
    <w:rsid w:val="00797813"/>
    <w:rsid w:val="007E47E4"/>
    <w:rsid w:val="0083254A"/>
    <w:rsid w:val="008357EC"/>
    <w:rsid w:val="008756D1"/>
    <w:rsid w:val="0087695F"/>
    <w:rsid w:val="008829C2"/>
    <w:rsid w:val="0089424C"/>
    <w:rsid w:val="008D3347"/>
    <w:rsid w:val="008D6863"/>
    <w:rsid w:val="008F3A42"/>
    <w:rsid w:val="0093029A"/>
    <w:rsid w:val="00946FAF"/>
    <w:rsid w:val="00947235"/>
    <w:rsid w:val="00963DBA"/>
    <w:rsid w:val="009B2AFA"/>
    <w:rsid w:val="009C3B78"/>
    <w:rsid w:val="009C709A"/>
    <w:rsid w:val="009D2758"/>
    <w:rsid w:val="00A16899"/>
    <w:rsid w:val="00A373F3"/>
    <w:rsid w:val="00A52843"/>
    <w:rsid w:val="00A730A7"/>
    <w:rsid w:val="00A740A3"/>
    <w:rsid w:val="00A760D3"/>
    <w:rsid w:val="00A936BE"/>
    <w:rsid w:val="00AC4E54"/>
    <w:rsid w:val="00AD06A1"/>
    <w:rsid w:val="00AF3EFF"/>
    <w:rsid w:val="00B134DE"/>
    <w:rsid w:val="00B34454"/>
    <w:rsid w:val="00B47BD7"/>
    <w:rsid w:val="00B52DEC"/>
    <w:rsid w:val="00B5324F"/>
    <w:rsid w:val="00B60A21"/>
    <w:rsid w:val="00B6419D"/>
    <w:rsid w:val="00B86B75"/>
    <w:rsid w:val="00B90E9D"/>
    <w:rsid w:val="00BA3CC7"/>
    <w:rsid w:val="00BA507F"/>
    <w:rsid w:val="00BC48D5"/>
    <w:rsid w:val="00BC5C1C"/>
    <w:rsid w:val="00BE5B43"/>
    <w:rsid w:val="00C0135E"/>
    <w:rsid w:val="00C12DBD"/>
    <w:rsid w:val="00C233C8"/>
    <w:rsid w:val="00C36279"/>
    <w:rsid w:val="00C4631D"/>
    <w:rsid w:val="00C560A8"/>
    <w:rsid w:val="00C612CF"/>
    <w:rsid w:val="00C94186"/>
    <w:rsid w:val="00CC3264"/>
    <w:rsid w:val="00CE649F"/>
    <w:rsid w:val="00CF32D0"/>
    <w:rsid w:val="00CF41CF"/>
    <w:rsid w:val="00CF485E"/>
    <w:rsid w:val="00D41F99"/>
    <w:rsid w:val="00D47ADD"/>
    <w:rsid w:val="00D61929"/>
    <w:rsid w:val="00DA2691"/>
    <w:rsid w:val="00DB1950"/>
    <w:rsid w:val="00DE3BBE"/>
    <w:rsid w:val="00DE3FE3"/>
    <w:rsid w:val="00DF18D9"/>
    <w:rsid w:val="00DF789B"/>
    <w:rsid w:val="00E22145"/>
    <w:rsid w:val="00E315A3"/>
    <w:rsid w:val="00E54A2F"/>
    <w:rsid w:val="00ED1AF8"/>
    <w:rsid w:val="00F10D2C"/>
    <w:rsid w:val="00F27AAC"/>
    <w:rsid w:val="00F30AC0"/>
    <w:rsid w:val="00F37023"/>
    <w:rsid w:val="00F416D5"/>
    <w:rsid w:val="00F45B95"/>
    <w:rsid w:val="00F46472"/>
    <w:rsid w:val="00F70D46"/>
    <w:rsid w:val="00F844F4"/>
    <w:rsid w:val="00FB3A61"/>
    <w:rsid w:val="00FF44E0"/>
    <w:rsid w:val="00FF7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4AE3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9" Type="http://schemas.openxmlformats.org/officeDocument/2006/relationships/image" Target="media/image3.emf"/><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image" Target="media/image27.emf"/><Relationship Id="rId34" Type="http://schemas.openxmlformats.org/officeDocument/2006/relationships/image" Target="media/image28.emf"/><Relationship Id="rId35" Type="http://schemas.openxmlformats.org/officeDocument/2006/relationships/image" Target="media/image29.emf"/><Relationship Id="rId36" Type="http://schemas.openxmlformats.org/officeDocument/2006/relationships/fontTable" Target="fontTable.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228</TotalTime>
  <Pages>57</Pages>
  <Words>3104</Words>
  <Characters>17699</Characters>
  <Application>Microsoft Macintosh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77</cp:revision>
  <dcterms:created xsi:type="dcterms:W3CDTF">2015-08-21T22:25:00Z</dcterms:created>
  <dcterms:modified xsi:type="dcterms:W3CDTF">2015-11-12T09:57:00Z</dcterms:modified>
</cp:coreProperties>
</file>